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Calibri" w:cs="Calibri" w:hAnsi="Calibri" w:eastAsia="Calibri"/>
          <w:b w:val="1"/>
          <w:bCs w:val="1"/>
          <w:sz w:val="24"/>
          <w:szCs w:val="24"/>
        </w:rPr>
      </w:pPr>
      <w:r>
        <w:rPr>
          <w:rFonts w:ascii="Calibri" w:cs="Calibri" w:hAnsi="Calibri" w:eastAsia="Calibri"/>
          <w:b w:val="1"/>
          <w:bCs w:val="1"/>
          <w:sz w:val="24"/>
          <w:szCs w:val="24"/>
          <w:rtl w:val="0"/>
          <w:lang w:val="en-US"/>
        </w:rPr>
        <w:t>What kind of test will I encounter in college?</w:t>
      </w:r>
    </w:p>
    <w:p>
      <w:pPr>
        <w:pStyle w:val="List Paragraph"/>
        <w:numPr>
          <w:ilvl w:val="0"/>
          <w:numId w:val="3"/>
        </w:numPr>
        <w:tabs>
          <w:tab w:val="num" w:pos="720"/>
          <w:tab w:val="clear" w:pos="0"/>
        </w:tabs>
        <w:ind w:left="720" w:hanging="360"/>
        <w:rPr>
          <w:position w:val="0"/>
          <w:sz w:val="22"/>
          <w:szCs w:val="22"/>
          <w:rtl w:val="0"/>
        </w:rPr>
      </w:pPr>
      <w:r>
        <w:rPr>
          <w:rFonts w:ascii="Trebuchet MS"/>
          <w:rtl w:val="0"/>
          <w:lang w:val="en-US"/>
        </w:rPr>
        <w:t>Although tests are an unpopular fact of college life, they can provide useful information about one</w:t>
      </w:r>
      <w:r>
        <w:rPr>
          <w:rFonts w:hAnsi="Trebuchet MS" w:hint="default"/>
          <w:rtl w:val="0"/>
          <w:lang w:val="en-US"/>
        </w:rPr>
        <w:t>’</w:t>
      </w:r>
      <w:r>
        <w:rPr>
          <w:rFonts w:ascii="Trebuchet MS"/>
          <w:rtl w:val="0"/>
          <w:lang w:val="en-US"/>
        </w:rPr>
        <w:t>s level of knowledge and understanding about a subject.</w:t>
      </w:r>
    </w:p>
    <w:p>
      <w:pPr>
        <w:pStyle w:val="List Paragraph"/>
        <w:numPr>
          <w:ilvl w:val="0"/>
          <w:numId w:val="4"/>
        </w:numPr>
        <w:tabs>
          <w:tab w:val="num" w:pos="720"/>
          <w:tab w:val="clear" w:pos="0"/>
        </w:tabs>
        <w:ind w:left="720" w:hanging="360"/>
        <w:rPr>
          <w:position w:val="0"/>
          <w:sz w:val="22"/>
          <w:szCs w:val="22"/>
          <w:rtl w:val="0"/>
        </w:rPr>
      </w:pPr>
      <w:r>
        <w:rPr>
          <w:rFonts w:ascii="Trebuchet MS"/>
          <w:rtl w:val="0"/>
          <w:lang w:val="en-US"/>
        </w:rPr>
        <w:t>There are several types of tests, including brief, informal quizzes; more substantial tests; and even more weighty exams, which tend to be administered at the midpoint and end of a course.</w:t>
      </w:r>
    </w:p>
    <w:p>
      <w:pPr>
        <w:pStyle w:val="Body"/>
        <w:rPr>
          <w:rFonts w:ascii="Calibri" w:cs="Calibri" w:hAnsi="Calibri" w:eastAsia="Calibri"/>
          <w:b w:val="1"/>
          <w:bCs w:val="1"/>
          <w:sz w:val="24"/>
          <w:szCs w:val="24"/>
        </w:rPr>
      </w:pPr>
      <w:r>
        <w:rPr>
          <w:rFonts w:ascii="Calibri" w:cs="Calibri" w:hAnsi="Calibri" w:eastAsia="Calibri"/>
          <w:b w:val="1"/>
          <w:bCs w:val="1"/>
          <w:sz w:val="24"/>
          <w:szCs w:val="24"/>
          <w:rtl w:val="0"/>
          <w:lang w:val="en-US"/>
        </w:rPr>
        <w:t>What</w:t>
      </w:r>
      <w:r>
        <w:rPr>
          <w:rFonts w:ascii="Calibri" w:cs="Calibri" w:hAnsi="Calibri" w:eastAsia="Calibri"/>
          <w:rtl w:val="0"/>
        </w:rPr>
        <w:t xml:space="preserve"> </w:t>
      </w:r>
      <w:r>
        <w:rPr>
          <w:rFonts w:ascii="Calibri" w:cs="Calibri" w:hAnsi="Calibri" w:eastAsia="Calibri"/>
          <w:b w:val="1"/>
          <w:bCs w:val="1"/>
          <w:sz w:val="24"/>
          <w:szCs w:val="24"/>
          <w:rtl w:val="0"/>
          <w:lang w:val="en-US"/>
        </w:rPr>
        <w:t>are the best ways to prepare for and take various kinds of tests?</w:t>
      </w:r>
    </w:p>
    <w:p>
      <w:pPr>
        <w:pStyle w:val="List Paragraph"/>
        <w:numPr>
          <w:ilvl w:val="0"/>
          <w:numId w:val="7"/>
        </w:numPr>
        <w:tabs>
          <w:tab w:val="num" w:pos="720"/>
          <w:tab w:val="clear" w:pos="0"/>
        </w:tabs>
        <w:ind w:left="720" w:hanging="360"/>
        <w:rPr>
          <w:position w:val="0"/>
          <w:sz w:val="22"/>
          <w:szCs w:val="22"/>
          <w:rtl w:val="0"/>
        </w:rPr>
      </w:pPr>
      <w:r>
        <w:rPr>
          <w:rFonts w:ascii="Trebuchet MS"/>
          <w:rtl w:val="0"/>
          <w:lang w:val="en-US"/>
        </w:rPr>
        <w:t>Good test preparation begins with doing the course assignments, attending class regularly, and paying attention in class. It also helps to find out as much as possible about a test beforehand and to form a study group to review material.</w:t>
      </w:r>
    </w:p>
    <w:p>
      <w:pPr>
        <w:pStyle w:val="List Paragraph"/>
        <w:numPr>
          <w:ilvl w:val="0"/>
          <w:numId w:val="8"/>
        </w:numPr>
        <w:tabs>
          <w:tab w:val="num" w:pos="720"/>
          <w:tab w:val="clear" w:pos="0"/>
        </w:tabs>
        <w:ind w:left="720" w:hanging="360"/>
        <w:rPr>
          <w:position w:val="0"/>
          <w:sz w:val="22"/>
          <w:szCs w:val="22"/>
          <w:rtl w:val="0"/>
        </w:rPr>
      </w:pPr>
      <w:r>
        <w:rPr>
          <w:rFonts w:ascii="Trebuchet MS"/>
          <w:rtl w:val="0"/>
          <w:lang w:val="en-US"/>
        </w:rPr>
        <w:t>If cramming becomes necessary, focus on summarizing factual information broadly, identifying key concepts and ideas, and rehearsing information orally.</w:t>
      </w:r>
    </w:p>
    <w:p>
      <w:pPr>
        <w:pStyle w:val="List Paragraph"/>
        <w:numPr>
          <w:ilvl w:val="0"/>
          <w:numId w:val="9"/>
        </w:numPr>
        <w:tabs>
          <w:tab w:val="num" w:pos="720"/>
          <w:tab w:val="clear" w:pos="0"/>
        </w:tabs>
        <w:ind w:left="720" w:hanging="360"/>
        <w:rPr>
          <w:position w:val="0"/>
          <w:sz w:val="22"/>
          <w:szCs w:val="22"/>
          <w:rtl w:val="0"/>
        </w:rPr>
      </w:pPr>
      <w:r>
        <w:rPr>
          <w:rFonts w:ascii="Trebuchet MS"/>
          <w:rtl w:val="0"/>
          <w:lang w:val="en-US"/>
        </w:rPr>
        <w:t>When you first receive the test, skim it to see what kinds of questions are asked, figure out how the different questions and sections will be weighted, and jot down complex factual information that is likely to be needed for the test.</w:t>
      </w:r>
    </w:p>
    <w:p>
      <w:pPr>
        <w:pStyle w:val="List Paragraph"/>
        <w:numPr>
          <w:ilvl w:val="0"/>
          <w:numId w:val="10"/>
        </w:numPr>
        <w:tabs>
          <w:tab w:val="num" w:pos="720"/>
          <w:tab w:val="clear" w:pos="0"/>
        </w:tabs>
        <w:ind w:left="720" w:hanging="360"/>
        <w:rPr>
          <w:position w:val="0"/>
          <w:sz w:val="22"/>
          <w:szCs w:val="22"/>
          <w:rtl w:val="0"/>
        </w:rPr>
      </w:pPr>
      <w:r>
        <w:rPr>
          <w:rFonts w:ascii="Trebuchet MS"/>
          <w:rtl w:val="0"/>
          <w:lang w:val="en-US"/>
        </w:rPr>
        <w:t>Answer the easiest questions first, write legibly, use only one side of each sheet of paper, mark answer sheets carefully, and record answers in the test book as well as the answer sheet. (When allowed)</w:t>
      </w:r>
    </w:p>
    <w:p>
      <w:pPr>
        <w:pStyle w:val="Body"/>
        <w:rPr>
          <w:rFonts w:ascii="Calibri" w:cs="Calibri" w:hAnsi="Calibri" w:eastAsia="Calibri"/>
          <w:b w:val="1"/>
          <w:bCs w:val="1"/>
          <w:sz w:val="24"/>
          <w:szCs w:val="24"/>
        </w:rPr>
      </w:pPr>
      <w:r>
        <w:rPr>
          <w:rFonts w:ascii="Calibri" w:cs="Calibri" w:hAnsi="Calibri" w:eastAsia="Calibri"/>
          <w:b w:val="1"/>
          <w:bCs w:val="1"/>
          <w:sz w:val="24"/>
          <w:szCs w:val="24"/>
          <w:rtl w:val="0"/>
          <w:lang w:val="en-US"/>
        </w:rPr>
        <w:t>What are the best strategies for answering specific kinds of test questions?</w:t>
      </w:r>
    </w:p>
    <w:p>
      <w:pPr>
        <w:pStyle w:val="List Paragraph"/>
        <w:numPr>
          <w:ilvl w:val="0"/>
          <w:numId w:val="13"/>
        </w:numPr>
        <w:tabs>
          <w:tab w:val="num" w:pos="720"/>
          <w:tab w:val="clear" w:pos="0"/>
        </w:tabs>
        <w:ind w:left="720" w:hanging="360"/>
        <w:rPr>
          <w:position w:val="0"/>
          <w:sz w:val="22"/>
          <w:szCs w:val="22"/>
          <w:rtl w:val="0"/>
        </w:rPr>
      </w:pPr>
      <w:r>
        <w:rPr>
          <w:rFonts w:ascii="Trebuchet MS"/>
          <w:rtl w:val="0"/>
          <w:lang w:val="en-US"/>
        </w:rPr>
        <w:t>For essay questions, be sure to understand each question and each of its parts, interpret action words correctly, write concisely, organize the essay logically, and include examples.</w:t>
      </w:r>
    </w:p>
    <w:p>
      <w:pPr>
        <w:pStyle w:val="List Paragraph"/>
        <w:numPr>
          <w:ilvl w:val="0"/>
          <w:numId w:val="14"/>
        </w:numPr>
        <w:tabs>
          <w:tab w:val="num" w:pos="720"/>
          <w:tab w:val="clear" w:pos="0"/>
        </w:tabs>
        <w:ind w:left="720" w:hanging="360"/>
        <w:rPr>
          <w:position w:val="0"/>
          <w:sz w:val="22"/>
          <w:szCs w:val="22"/>
          <w:rtl w:val="0"/>
        </w:rPr>
      </w:pPr>
      <w:r>
        <w:rPr>
          <w:rFonts w:ascii="Trebuchet MS"/>
          <w:rtl w:val="0"/>
          <w:lang w:val="en-US"/>
        </w:rPr>
        <w:t>The best strategy for short-answer and fill-in questions is to be very sure what is being asked. Keep answers complete but brief.</w:t>
      </w:r>
    </w:p>
    <w:p>
      <w:pPr>
        <w:pStyle w:val="List Paragraph"/>
        <w:numPr>
          <w:ilvl w:val="0"/>
          <w:numId w:val="15"/>
        </w:numPr>
        <w:tabs>
          <w:tab w:val="num" w:pos="720"/>
          <w:tab w:val="clear" w:pos="0"/>
        </w:tabs>
        <w:ind w:left="720" w:hanging="360"/>
        <w:rPr>
          <w:position w:val="0"/>
          <w:sz w:val="22"/>
          <w:szCs w:val="22"/>
          <w:rtl w:val="0"/>
        </w:rPr>
      </w:pPr>
      <w:r>
        <w:rPr>
          <w:rFonts w:ascii="Trebuchet MS"/>
          <w:rtl w:val="0"/>
          <w:lang w:val="en-US"/>
        </w:rPr>
        <w:t xml:space="preserve">For multiple-choice questions, read the question very carefully and then read all response choices. Educated guessing based on eliminating incorrect response choices is usually a reasonable strategy. </w:t>
      </w:r>
    </w:p>
    <w:p>
      <w:pPr>
        <w:pStyle w:val="List Paragraph"/>
        <w:numPr>
          <w:ilvl w:val="0"/>
          <w:numId w:val="16"/>
        </w:numPr>
        <w:tabs>
          <w:tab w:val="num" w:pos="720"/>
          <w:tab w:val="clear" w:pos="0"/>
        </w:tabs>
        <w:ind w:left="720" w:hanging="360"/>
        <w:rPr>
          <w:position w:val="0"/>
          <w:sz w:val="22"/>
          <w:szCs w:val="22"/>
          <w:rtl w:val="0"/>
        </w:rPr>
      </w:pPr>
      <w:r>
        <w:rPr>
          <w:rFonts w:ascii="Trebuchet MS"/>
          <w:rtl w:val="0"/>
          <w:lang w:val="en-US"/>
        </w:rPr>
        <w:t>For true-false and matching questions, answer all the items that you are sure of quickly and then go back to the remaining items.</w:t>
      </w:r>
    </w:p>
    <w:p>
      <w:pPr>
        <w:pStyle w:val="Body"/>
        <w:rPr>
          <w:rFonts w:ascii="Calibri" w:cs="Calibri" w:hAnsi="Calibri" w:eastAsia="Calibri"/>
          <w:b w:val="1"/>
          <w:bCs w:val="1"/>
          <w:caps w:val="1"/>
          <w:sz w:val="24"/>
          <w:szCs w:val="24"/>
        </w:rPr>
      </w:pPr>
      <w:r>
        <w:rPr>
          <w:rFonts w:ascii="Calibri" w:cs="Calibri" w:hAnsi="Calibri" w:eastAsia="Calibri"/>
          <w:b w:val="1"/>
          <w:bCs w:val="1"/>
          <w:caps w:val="1"/>
          <w:sz w:val="24"/>
          <w:szCs w:val="24"/>
          <w:rtl w:val="0"/>
          <w:lang w:val="en-US"/>
        </w:rPr>
        <w:t>On Campus</w:t>
      </w:r>
    </w:p>
    <w:p>
      <w:pPr>
        <w:pStyle w:val="Body"/>
        <w:rPr>
          <w:rtl w:val="0"/>
        </w:rPr>
      </w:pPr>
      <w:r>
        <w:rPr>
          <w:rFonts w:ascii="Calibri" w:cs="Calibri" w:hAnsi="Calibri" w:eastAsia="Calibri"/>
          <w:rtl w:val="0"/>
          <w:lang w:val="en-US"/>
        </w:rPr>
        <w:t>Colleges provide a variety of resources for students having difficulties with test-taking. Some offer general workshops for students, reviewing test-taking strategies. Furthermore, if you are planning to take a specific standardized test, such as the tests required for admission to business, law, or medical school, you may be able to sign up for a course offered through your college (or through such commercial organizations as Princeton Review or Kaplan).</w:t>
      </w:r>
    </w:p>
    <w:p>
      <w:pPr>
        <w:pStyle w:val="Body"/>
        <w:ind w:firstLine="720"/>
        <w:rPr>
          <w:rFonts w:ascii="Calibri" w:cs="Calibri" w:hAnsi="Calibri" w:eastAsia="Calibri"/>
          <w:b w:val="1"/>
          <w:bCs w:val="1"/>
          <w:sz w:val="24"/>
          <w:szCs w:val="24"/>
        </w:rPr>
      </w:pPr>
      <w:r>
        <w:rPr>
          <w:rFonts w:ascii="Trebuchet MS"/>
          <w:rtl w:val="0"/>
          <w:lang w:val="en-US"/>
        </w:rPr>
        <w:t>If you are experiencing difficulties in a specific course, you may be able to find a tutor to help you out. Northwest Florida State College has a tutoring center that can provide one-to-one assistance. You also can talk to your advisor, who may be able to point you in the right direction. It</w:t>
      </w:r>
      <w:r>
        <w:rPr>
          <w:rFonts w:hAnsi="Trebuchet MS" w:hint="default"/>
          <w:rtl w:val="0"/>
          <w:lang w:val="fr-FR"/>
        </w:rPr>
        <w:t>’</w:t>
      </w:r>
      <w:r>
        <w:rPr>
          <w:rFonts w:ascii="Trebuchet MS"/>
          <w:rtl w:val="0"/>
          <w:lang w:val="en-US"/>
        </w:rPr>
        <w:t>s also important to speak to your instructor, who more than likely has encountered many students with similar problems and may have some useful test-taking strategies.</w:t>
      </w:r>
    </w:p>
    <w:p>
      <w:pPr>
        <w:pStyle w:val="Body"/>
        <w:rPr>
          <w:rFonts w:ascii="Calibri" w:cs="Calibri" w:hAnsi="Calibri" w:eastAsia="Calibri"/>
          <w:b w:val="1"/>
          <w:bCs w:val="1"/>
          <w:sz w:val="24"/>
          <w:szCs w:val="24"/>
        </w:rPr>
      </w:pPr>
      <w:r>
        <w:rPr>
          <w:rFonts w:ascii="Calibri" w:cs="Calibri" w:hAnsi="Calibri" w:eastAsia="Calibri"/>
          <w:b w:val="1"/>
          <w:bCs w:val="1"/>
          <w:sz w:val="24"/>
          <w:szCs w:val="24"/>
          <w:rtl w:val="0"/>
        </w:rPr>
        <w:t>IN PRINT</w:t>
      </w:r>
    </w:p>
    <w:p>
      <w:pPr>
        <w:pStyle w:val="Body"/>
        <w:rPr>
          <w:rtl w:val="0"/>
        </w:rPr>
      </w:pPr>
      <w:r>
        <w:rPr>
          <w:rFonts w:ascii="Calibri" w:cs="Calibri" w:hAnsi="Calibri" w:eastAsia="Calibri"/>
          <w:rtl w:val="0"/>
          <w:lang w:val="en-US"/>
        </w:rPr>
        <w:t xml:space="preserve">In </w:t>
      </w:r>
      <w:r>
        <w:rPr>
          <w:rFonts w:ascii="Calibri" w:cs="Calibri" w:hAnsi="Calibri" w:eastAsia="Calibri"/>
          <w:i w:val="1"/>
          <w:iCs w:val="1"/>
          <w:rtl w:val="0"/>
        </w:rPr>
        <w:t>How to Ace Any Test</w:t>
      </w:r>
      <w:r>
        <w:rPr>
          <w:rFonts w:ascii="Calibri" w:cs="Calibri" w:hAnsi="Calibri" w:eastAsia="Calibri"/>
          <w:rtl w:val="0"/>
          <w:lang w:val="en-US"/>
        </w:rPr>
        <w:t xml:space="preserve"> (Wiley 2004), Beverley Chin provides a variety of techniques designed to improve your performance on any kind of test.</w:t>
      </w:r>
    </w:p>
    <w:p>
      <w:pPr>
        <w:pStyle w:val="Body"/>
        <w:rPr>
          <w:rtl w:val="0"/>
        </w:rPr>
      </w:pPr>
      <w:r>
        <w:rPr>
          <w:rFonts w:ascii="Calibri" w:cs="Calibri" w:hAnsi="Calibri" w:eastAsia="Calibri"/>
          <w:rtl w:val="0"/>
          <w:lang w:val="nl-NL"/>
        </w:rPr>
        <w:tab/>
        <w:t>Eileen Tracy</w:t>
      </w:r>
      <w:r>
        <w:rPr>
          <w:rFonts w:ascii="Calibri" w:cs="Calibri" w:hAnsi="Calibri" w:eastAsia="Calibri"/>
          <w:rtl w:val="0"/>
          <w:lang w:val="fr-FR"/>
        </w:rPr>
        <w:t>’</w:t>
      </w:r>
      <w:r>
        <w:rPr>
          <w:rFonts w:ascii="Calibri" w:cs="Calibri" w:hAnsi="Calibri" w:eastAsia="Calibri"/>
          <w:rtl w:val="0"/>
        </w:rPr>
        <w:t xml:space="preserve">s </w:t>
      </w:r>
      <w:r>
        <w:rPr>
          <w:rFonts w:ascii="Calibri" w:cs="Calibri" w:hAnsi="Calibri" w:eastAsia="Calibri"/>
          <w:i w:val="1"/>
          <w:iCs w:val="1"/>
          <w:rtl w:val="0"/>
          <w:lang w:val="en-US"/>
        </w:rPr>
        <w:t>The Student</w:t>
      </w:r>
      <w:r>
        <w:rPr>
          <w:rFonts w:ascii="Calibri" w:cs="Calibri" w:hAnsi="Calibri" w:eastAsia="Calibri"/>
          <w:i w:val="1"/>
          <w:iCs w:val="1"/>
          <w:rtl w:val="0"/>
          <w:lang w:val="fr-FR"/>
        </w:rPr>
        <w:t>’</w:t>
      </w:r>
      <w:r>
        <w:rPr>
          <w:rFonts w:ascii="Calibri" w:cs="Calibri" w:hAnsi="Calibri" w:eastAsia="Calibri"/>
          <w:i w:val="1"/>
          <w:iCs w:val="1"/>
          <w:rtl w:val="0"/>
          <w:lang w:val="en-US"/>
        </w:rPr>
        <w:t>s Guide to Exam Success (</w:t>
      </w:r>
      <w:r>
        <w:rPr>
          <w:rFonts w:ascii="Calibri" w:cs="Calibri" w:hAnsi="Calibri" w:eastAsia="Calibri"/>
          <w:rtl w:val="0"/>
          <w:lang w:val="en-US"/>
        </w:rPr>
        <w:t>Open University Press, 2006) gives an overview of strategies for test-taking success.</w:t>
      </w:r>
    </w:p>
    <w:p>
      <w:pPr>
        <w:pStyle w:val="Body"/>
        <w:rPr>
          <w:rtl w:val="0"/>
        </w:rPr>
      </w:pPr>
      <w:r>
        <w:rPr>
          <w:rFonts w:ascii="Calibri" w:cs="Calibri" w:hAnsi="Calibri" w:eastAsia="Calibri"/>
          <w:rtl w:val="0"/>
        </w:rPr>
        <w:tab/>
        <w:t xml:space="preserve">Finally, </w:t>
      </w:r>
      <w:r>
        <w:rPr>
          <w:rFonts w:ascii="Calibri" w:cs="Calibri" w:hAnsi="Calibri" w:eastAsia="Calibri"/>
          <w:i w:val="1"/>
          <w:iCs w:val="1"/>
          <w:rtl w:val="0"/>
          <w:lang w:val="en-US"/>
        </w:rPr>
        <w:t>Test Anxiety and What You Can Do About It</w:t>
      </w:r>
      <w:r>
        <w:rPr>
          <w:rFonts w:ascii="Calibri" w:cs="Calibri" w:hAnsi="Calibri" w:eastAsia="Calibri"/>
          <w:rtl w:val="0"/>
          <w:lang w:val="en-US"/>
        </w:rPr>
        <w:t xml:space="preserve"> (National Professional Resources, 2005), by Joseph Casbarro is a professional guide to dealing with test anxiety, providing a variety of concrete suggestions.</w:t>
      </w:r>
    </w:p>
    <w:p>
      <w:pPr>
        <w:pStyle w:val="Body"/>
        <w:rPr>
          <w:rFonts w:ascii="Calibri" w:cs="Calibri" w:hAnsi="Calibri" w:eastAsia="Calibri"/>
          <w:b w:val="1"/>
          <w:bCs w:val="1"/>
          <w:sz w:val="24"/>
          <w:szCs w:val="24"/>
        </w:rPr>
      </w:pPr>
      <w:r>
        <w:rPr>
          <w:rFonts w:ascii="Calibri" w:cs="Calibri" w:hAnsi="Calibri" w:eastAsia="Calibri"/>
          <w:b w:val="1"/>
          <w:bCs w:val="1"/>
          <w:sz w:val="24"/>
          <w:szCs w:val="24"/>
          <w:rtl w:val="0"/>
        </w:rPr>
        <w:t>ON THE WEB</w:t>
      </w:r>
    </w:p>
    <w:p>
      <w:pPr>
        <w:pStyle w:val="Body"/>
        <w:rPr>
          <w:rtl w:val="0"/>
        </w:rPr>
      </w:pPr>
      <w:r>
        <w:rPr>
          <w:rFonts w:ascii="Calibri" w:cs="Calibri" w:hAnsi="Calibri" w:eastAsia="Calibri"/>
          <w:rtl w:val="0"/>
          <w:lang w:val="en-US"/>
        </w:rPr>
        <w:t>The following sites on the World Wide Web provide opportunities to extend your learning about the material in this chapter.</w:t>
      </w:r>
    </w:p>
    <w:p>
      <w:pPr>
        <w:pStyle w:val="List Paragraph"/>
        <w:numPr>
          <w:ilvl w:val="0"/>
          <w:numId w:val="19"/>
        </w:numPr>
        <w:tabs>
          <w:tab w:val="num" w:pos="720"/>
          <w:tab w:val="clear" w:pos="0"/>
        </w:tabs>
        <w:ind w:left="720" w:hanging="360"/>
        <w:rPr>
          <w:position w:val="0"/>
          <w:sz w:val="22"/>
          <w:szCs w:val="22"/>
          <w:rtl w:val="0"/>
        </w:rPr>
      </w:pPr>
      <w:r>
        <w:rPr>
          <w:rFonts w:hAnsi="Trebuchet MS" w:hint="default"/>
          <w:rtl w:val="0"/>
          <w:lang w:val="en-US"/>
        </w:rPr>
        <w:t>“</w:t>
      </w:r>
      <w:r>
        <w:rPr>
          <w:rFonts w:ascii="Trebuchet MS"/>
          <w:rtl w:val="0"/>
          <w:lang w:val="en-US"/>
        </w:rPr>
        <w:t>The Multiple Choice Exam,</w:t>
      </w:r>
      <w:r>
        <w:rPr>
          <w:rFonts w:hAnsi="Trebuchet MS" w:hint="default"/>
          <w:rtl w:val="0"/>
          <w:lang w:val="en-US"/>
        </w:rPr>
        <w:t xml:space="preserve">” </w:t>
      </w:r>
      <w:r>
        <w:rPr>
          <w:rFonts w:ascii="Trebuchet MS"/>
          <w:rtl w:val="0"/>
          <w:lang w:val="en-US"/>
        </w:rPr>
        <w:t>an online handout from the University of Victoria</w:t>
      </w:r>
      <w:r>
        <w:rPr>
          <w:rFonts w:hAnsi="Trebuchet MS" w:hint="default"/>
          <w:rtl w:val="0"/>
          <w:lang w:val="en-US"/>
        </w:rPr>
        <w:t>’</w:t>
      </w:r>
      <w:r>
        <w:rPr>
          <w:rFonts w:ascii="Trebuchet MS"/>
          <w:rtl w:val="0"/>
          <w:lang w:val="en-US"/>
        </w:rPr>
        <w:t>s Learning Skills Program (</w:t>
      </w:r>
      <w:hyperlink r:id="rId4" w:history="1">
        <w:r>
          <w:rPr>
            <w:rStyle w:val="Hyperlink.0"/>
            <w:rFonts w:ascii="Trebuchet MS"/>
            <w:rtl w:val="0"/>
            <w:lang w:val="en-US"/>
          </w:rPr>
          <w:t>www.coun.uvic.ca/learning/exams/multiple-choice.html</w:t>
        </w:r>
      </w:hyperlink>
      <w:r>
        <w:rPr>
          <w:rFonts w:ascii="Trebuchet MS"/>
          <w:rtl w:val="0"/>
          <w:lang w:val="en-US"/>
        </w:rPr>
        <w:t xml:space="preserve"> ), offers some valuable suggestions on how to approach multiple-choice exams. Several types of multiple-choice questions are described and strategies for answering them are explained. There are also helpful hints about what to look for in the wording of both the questions and the answer choices.</w:t>
      </w:r>
    </w:p>
    <w:p>
      <w:pPr>
        <w:pStyle w:val="List Paragraph"/>
        <w:numPr>
          <w:ilvl w:val="0"/>
          <w:numId w:val="20"/>
        </w:numPr>
        <w:tabs>
          <w:tab w:val="num" w:pos="720"/>
          <w:tab w:val="clear" w:pos="0"/>
        </w:tabs>
        <w:ind w:left="720" w:hanging="360"/>
        <w:rPr>
          <w:position w:val="0"/>
          <w:sz w:val="22"/>
          <w:szCs w:val="22"/>
          <w:rtl w:val="0"/>
        </w:rPr>
      </w:pPr>
      <w:r>
        <w:rPr>
          <w:rFonts w:hAnsi="Trebuchet MS" w:hint="default"/>
          <w:rtl w:val="0"/>
          <w:lang w:val="en-US"/>
        </w:rPr>
        <w:t>“</w:t>
      </w:r>
      <w:r>
        <w:rPr>
          <w:rFonts w:ascii="Trebuchet MS"/>
          <w:rtl w:val="0"/>
          <w:lang w:val="en-US"/>
        </w:rPr>
        <w:t>Simplified Plans of Action for Common types of Question Words,</w:t>
      </w:r>
      <w:r>
        <w:rPr>
          <w:rFonts w:hAnsi="Trebuchet MS" w:hint="default"/>
          <w:rtl w:val="0"/>
          <w:lang w:val="en-US"/>
        </w:rPr>
        <w:t xml:space="preserve">” </w:t>
      </w:r>
      <w:r>
        <w:rPr>
          <w:rFonts w:ascii="Trebuchet MS"/>
          <w:rtl w:val="0"/>
          <w:lang w:val="en-US"/>
        </w:rPr>
        <w:t>another online handout from the University of Victoria</w:t>
      </w:r>
      <w:r>
        <w:rPr>
          <w:rFonts w:hAnsi="Trebuchet MS" w:hint="default"/>
          <w:rtl w:val="0"/>
          <w:lang w:val="en-US"/>
        </w:rPr>
        <w:t>’</w:t>
      </w:r>
      <w:r>
        <w:rPr>
          <w:rFonts w:ascii="Trebuchet MS"/>
          <w:rtl w:val="0"/>
          <w:lang w:val="en-US"/>
        </w:rPr>
        <w:t>s Learning Skills Program (</w:t>
      </w:r>
      <w:hyperlink r:id="rId5" w:history="1">
        <w:r>
          <w:rPr>
            <w:rStyle w:val="Hyperlink.0"/>
            <w:rFonts w:ascii="Trebuchet MS"/>
            <w:rtl w:val="0"/>
            <w:lang w:val="en-US"/>
          </w:rPr>
          <w:t>www.coun.uvic.ca/learning/essays/simple-answers.html</w:t>
        </w:r>
      </w:hyperlink>
      <w:r>
        <w:rPr>
          <w:rFonts w:ascii="Trebuchet MS"/>
          <w:rtl w:val="0"/>
          <w:lang w:val="en-US"/>
        </w:rPr>
        <w:t xml:space="preserve"> ), give examples of question words that are often found in essay assignments or in essay questions on exams. Possible </w:t>
      </w:r>
      <w:r>
        <w:rPr>
          <w:rFonts w:hAnsi="Trebuchet MS" w:hint="default"/>
          <w:rtl w:val="0"/>
          <w:lang w:val="en-US"/>
        </w:rPr>
        <w:t>“</w:t>
      </w:r>
      <w:r>
        <w:rPr>
          <w:rFonts w:ascii="Trebuchet MS"/>
          <w:rtl w:val="0"/>
          <w:lang w:val="en-US"/>
        </w:rPr>
        <w:t>plans of action</w:t>
      </w:r>
      <w:r>
        <w:rPr>
          <w:rFonts w:hAnsi="Trebuchet MS" w:hint="default"/>
          <w:rtl w:val="0"/>
          <w:lang w:val="en-US"/>
        </w:rPr>
        <w:t xml:space="preserve">” </w:t>
      </w:r>
      <w:r>
        <w:rPr>
          <w:rFonts w:ascii="Trebuchet MS"/>
          <w:rtl w:val="0"/>
          <w:lang w:val="en-US"/>
        </w:rPr>
        <w:t>for each of the question types are outlined. These outlines can be useful as a starting point for understanding how to approach essay questions.</w:t>
      </w:r>
    </w:p>
    <w:p>
      <w:pPr>
        <w:pStyle w:val="List Paragraph"/>
        <w:numPr>
          <w:ilvl w:val="0"/>
          <w:numId w:val="21"/>
        </w:numPr>
        <w:tabs>
          <w:tab w:val="num" w:pos="720"/>
          <w:tab w:val="clear" w:pos="0"/>
        </w:tabs>
        <w:ind w:left="720" w:hanging="360"/>
        <w:rPr>
          <w:position w:val="0"/>
          <w:sz w:val="22"/>
          <w:szCs w:val="22"/>
          <w:rtl w:val="0"/>
        </w:rPr>
      </w:pPr>
      <w:r>
        <w:rPr>
          <w:rFonts w:hAnsi="Trebuchet MS" w:hint="default"/>
          <w:rtl w:val="0"/>
          <w:lang w:val="en-US"/>
        </w:rPr>
        <w:t>“</w:t>
      </w:r>
      <w:r>
        <w:rPr>
          <w:rFonts w:ascii="Trebuchet MS"/>
          <w:rtl w:val="0"/>
          <w:lang w:val="en-US"/>
        </w:rPr>
        <w:t>Tactics for Managing Stress and Anxiety</w:t>
      </w:r>
      <w:r>
        <w:rPr>
          <w:rFonts w:hAnsi="Trebuchet MS" w:hint="default"/>
          <w:rtl w:val="0"/>
          <w:lang w:val="en-US"/>
        </w:rPr>
        <w:t xml:space="preserve">” </w:t>
      </w:r>
      <w:r>
        <w:rPr>
          <w:rFonts w:ascii="Trebuchet MS"/>
          <w:rtl w:val="0"/>
          <w:lang w:val="en-US"/>
        </w:rPr>
        <w:t>(</w:t>
      </w:r>
      <w:hyperlink r:id="rId6" w:history="1">
        <w:r>
          <w:rPr>
            <w:rStyle w:val="Hyperlink.0"/>
            <w:rFonts w:ascii="Trebuchet MS"/>
            <w:rtl w:val="0"/>
            <w:lang w:val="en-US"/>
          </w:rPr>
          <w:t>www.coun.uvic.ca/personal/stess-anxiety.html</w:t>
        </w:r>
      </w:hyperlink>
      <w:r>
        <w:rPr>
          <w:rFonts w:ascii="Trebuchet MS"/>
          <w:rtl w:val="0"/>
          <w:lang w:val="en-US"/>
        </w:rPr>
        <w:t xml:space="preserve"> ), offers several suggestions that you might find helpful in managing and reducing your level of stress and anxiety. The techniques may help you deal with test-related anxiety as well as academic anxiety in general. Not all of the techniques work for everyone. Try them and use the ones that work best for you.</w:t>
      </w:r>
    </w:p>
    <w:sectPr>
      <w:headerReference w:type="default" r:id="rId7"/>
      <w:footerReference w:type="default" r:id="rId8"/>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2</w:t>
    </w:r>
    <w:r>
      <w:rPr/>
      <w:fldChar w:fldCharType="end" w:fldLock="0"/>
    </w:r>
    <w:r>
      <w:rPr>
        <w:rtl w:val="0"/>
        <w:lang w:val="en-US"/>
      </w:rPr>
      <w:t xml:space="preserve"> of </w:t>
    </w:r>
    <w:r>
      <w:rPr/>
      <w:fldChar w:fldCharType="begin" w:fldLock="0"/>
    </w:r>
    <w:r>
      <w:t xml:space="preserve"> NUMPAGES </w: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center"/>
    </w:pPr>
    <w:r>
      <w:rPr>
        <w:rFonts w:ascii="Calibri" w:cs="Calibri" w:hAnsi="Calibri" w:eastAsia="Calibri"/>
        <w:b w:val="1"/>
        <w:bCs w:val="1"/>
        <w:sz w:val="32"/>
        <w:szCs w:val="32"/>
        <w:rtl w:val="0"/>
        <w:lang w:val="en-US"/>
      </w:rPr>
      <w:t>Looking Back: Test Taking Strategies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9">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0">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2">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3">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4">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5">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6">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8">
    <w:multiLevelType w:val="multilevel"/>
    <w:styleLink w:val="List 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9">
    <w:multiLevelType w:val="multilevel"/>
    <w:styleLink w:val="List 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0">
    <w:multiLevelType w:val="multilevel"/>
    <w:styleLink w:val="List 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5"/>
      </w:numPr>
    </w:pPr>
  </w:style>
  <w:style w:type="numbering" w:styleId="Imported Style 2">
    <w:name w:val="Imported Style 2"/>
    <w:next w:val="Imported Style 2"/>
    <w:pPr>
      <w:numPr>
        <w:numId w:val="6"/>
      </w:numPr>
    </w:pPr>
  </w:style>
  <w:style w:type="numbering" w:styleId="List 2">
    <w:name w:val="List 2"/>
    <w:basedOn w:val="Imported Style 3"/>
    <w:next w:val="List 2"/>
    <w:pPr>
      <w:numPr>
        <w:numId w:val="11"/>
      </w:numPr>
    </w:pPr>
  </w:style>
  <w:style w:type="numbering" w:styleId="Imported Style 3">
    <w:name w:val="Imported Style 3"/>
    <w:next w:val="Imported Style 3"/>
    <w:pPr>
      <w:numPr>
        <w:numId w:val="12"/>
      </w:numPr>
    </w:pPr>
  </w:style>
  <w:style w:type="character" w:styleId="Link">
    <w:name w:val="Link"/>
    <w:rPr>
      <w:color w:val="0563c1"/>
      <w:u w:val="single" w:color="0563c1"/>
    </w:rPr>
  </w:style>
  <w:style w:type="character" w:styleId="Hyperlink.0">
    <w:name w:val="Hyperlink.0"/>
    <w:basedOn w:val="Link"/>
    <w:next w:val="Hyperlink.0"/>
    <w:rPr/>
  </w:style>
  <w:style w:type="numbering" w:styleId="List 3">
    <w:name w:val="List 3"/>
    <w:basedOn w:val="Imported Style 4"/>
    <w:next w:val="List 3"/>
    <w:pPr>
      <w:numPr>
        <w:numId w:val="17"/>
      </w:numPr>
    </w:pPr>
  </w:style>
  <w:style w:type="numbering" w:styleId="Imported Style 4">
    <w:name w:val="Imported Style 4"/>
    <w:next w:val="Imported Style 4"/>
    <w:pPr>
      <w:numPr>
        <w:numId w:val="1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coun.uvic.ca/learning/exams/multiple-choice.html" TargetMode="External"/><Relationship Id="rId5" Type="http://schemas.openxmlformats.org/officeDocument/2006/relationships/hyperlink" Target="http://www.coun.uvic.ca/learning/essays/simple-answers.html" TargetMode="External"/><Relationship Id="rId6" Type="http://schemas.openxmlformats.org/officeDocument/2006/relationships/hyperlink" Target="http://www.coun.uvic.ca/personal/stess-anxiety.html"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